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  <w:rPr>
          <w:b/>
          <w:bCs/>
        </w:rPr>
      </w:pPr>
      <w:r w:rsidRPr="00EE3E7A">
        <w:rPr>
          <w:b/>
          <w:bCs/>
        </w:rPr>
        <w:t>1.7.5.4.- RED DE ENERGÍA ELÉCTRICA</w:t>
      </w:r>
    </w:p>
    <w:p w:rsidR="00EE3E7A" w:rsidRP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  <w:rPr>
          <w:b/>
          <w:bCs/>
        </w:rPr>
      </w:pPr>
    </w:p>
    <w:p w:rsid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</w:pPr>
      <w:r w:rsidRPr="00EE3E7A">
        <w:rPr>
          <w:rFonts w:eastAsia="SymbolMT"/>
        </w:rPr>
        <w:t xml:space="preserve">• </w:t>
      </w:r>
      <w:r w:rsidRPr="00EE3E7A">
        <w:t>INFRAESTRUCTURAS ELÉCTRICAS EXISTENTES</w:t>
      </w:r>
    </w:p>
    <w:p w:rsidR="00EE3E7A" w:rsidRP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</w:pPr>
    </w:p>
    <w:p w:rsid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</w:pPr>
      <w:proofErr w:type="gramStart"/>
      <w:r w:rsidRPr="00EE3E7A">
        <w:t>o</w:t>
      </w:r>
      <w:proofErr w:type="gramEnd"/>
      <w:r w:rsidRPr="00EE3E7A">
        <w:t xml:space="preserve"> Sobre el interior de los 2.611.823 m2 de superficie que ocupa el Sector B “Cristo de Rivas” se</w:t>
      </w:r>
      <w:r>
        <w:t xml:space="preserve"> </w:t>
      </w:r>
      <w:r w:rsidRPr="00EE3E7A">
        <w:t>emplazan las siguientes infraestructuras eléctricas:</w:t>
      </w:r>
    </w:p>
    <w:p w:rsidR="00EE3E7A" w:rsidRP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</w:pPr>
    </w:p>
    <w:p w:rsidR="00EE3E7A" w:rsidRP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</w:pPr>
      <w:r w:rsidRPr="00EE3E7A">
        <w:rPr>
          <w:rFonts w:ascii="Arial" w:hAnsi="Arial"/>
        </w:rPr>
        <w:t>􀂃</w:t>
      </w:r>
      <w:r w:rsidRPr="00EE3E7A">
        <w:t xml:space="preserve"> Subestación eléctrica, localizada en la zona central del ámbito.</w:t>
      </w:r>
    </w:p>
    <w:p w:rsidR="00EE3E7A" w:rsidRP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</w:pPr>
      <w:r w:rsidRPr="00EE3E7A">
        <w:rPr>
          <w:rFonts w:ascii="Arial" w:hAnsi="Arial"/>
        </w:rPr>
        <w:t>􀂃</w:t>
      </w:r>
      <w:r w:rsidRPr="00EE3E7A">
        <w:t xml:space="preserve"> Líneas aéreas de alta y media tensión con los siguientes voltajes:</w:t>
      </w:r>
    </w:p>
    <w:p w:rsidR="00EE3E7A" w:rsidRP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</w:pPr>
      <w:r w:rsidRPr="00EE3E7A">
        <w:rPr>
          <w:rFonts w:ascii="Arial" w:hAnsi="Arial"/>
        </w:rPr>
        <w:t>􀂃</w:t>
      </w:r>
      <w:r w:rsidRPr="00EE3E7A">
        <w:t xml:space="preserve"> 1 línea de 220 KV, que cruza el ámbito de norte a oeste.</w:t>
      </w:r>
    </w:p>
    <w:p w:rsidR="00EE3E7A" w:rsidRP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</w:pPr>
      <w:r w:rsidRPr="00EE3E7A">
        <w:rPr>
          <w:rFonts w:ascii="Arial" w:hAnsi="Arial"/>
        </w:rPr>
        <w:t>􀂃</w:t>
      </w:r>
      <w:r w:rsidRPr="00EE3E7A">
        <w:t xml:space="preserve"> 1 línea de 132 KV, que cruza el ámbito de este a oeste.</w:t>
      </w:r>
    </w:p>
    <w:p w:rsidR="00EE3E7A" w:rsidRP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</w:pPr>
      <w:r w:rsidRPr="00EE3E7A">
        <w:rPr>
          <w:rFonts w:ascii="Arial" w:hAnsi="Arial"/>
        </w:rPr>
        <w:t>􀂃</w:t>
      </w:r>
      <w:r w:rsidRPr="00EE3E7A">
        <w:t xml:space="preserve"> 1 línea de 110 KV, que cruza el ámbito de este a oeste.</w:t>
      </w:r>
    </w:p>
    <w:p w:rsidR="00EE3E7A" w:rsidRP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</w:pPr>
      <w:r w:rsidRPr="00EE3E7A">
        <w:rPr>
          <w:rFonts w:ascii="Arial" w:hAnsi="Arial"/>
        </w:rPr>
        <w:t>􀂃</w:t>
      </w:r>
      <w:r w:rsidRPr="00EE3E7A">
        <w:t xml:space="preserve"> 2 líneas de 45 KV, que desde el este llegan a la subestación.</w:t>
      </w:r>
    </w:p>
    <w:p w:rsidR="00EE3E7A" w:rsidRP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</w:pPr>
      <w:r w:rsidRPr="00EE3E7A">
        <w:rPr>
          <w:rFonts w:ascii="Arial" w:hAnsi="Arial"/>
        </w:rPr>
        <w:t>􀂃</w:t>
      </w:r>
      <w:r w:rsidRPr="00EE3E7A">
        <w:t xml:space="preserve"> 1 línea de 15 KV, que desde el norte llega a la subestación.</w:t>
      </w:r>
    </w:p>
    <w:p w:rsidR="00EE3E7A" w:rsidRP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</w:pPr>
      <w:r w:rsidRPr="00EE3E7A">
        <w:rPr>
          <w:rFonts w:ascii="Arial" w:hAnsi="Arial"/>
        </w:rPr>
        <w:t>􀂃</w:t>
      </w:r>
      <w:r w:rsidRPr="00EE3E7A">
        <w:t xml:space="preserve"> 1 línea de 15 KV, que cruza el ámbito de norte a este.</w:t>
      </w:r>
    </w:p>
    <w:p w:rsidR="00EE3E7A" w:rsidRP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</w:pPr>
      <w:r w:rsidRPr="00EE3E7A">
        <w:rPr>
          <w:rFonts w:ascii="Arial" w:hAnsi="Arial"/>
        </w:rPr>
        <w:t>􀂃</w:t>
      </w:r>
      <w:r w:rsidRPr="00EE3E7A">
        <w:t xml:space="preserve"> 1 línea de 5 KV, que desde el sur llega a la subestación.</w:t>
      </w:r>
    </w:p>
    <w:p w:rsid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</w:pPr>
      <w:r w:rsidRPr="00EE3E7A">
        <w:rPr>
          <w:rFonts w:ascii="Arial" w:hAnsi="Arial"/>
        </w:rPr>
        <w:t>􀂃</w:t>
      </w:r>
      <w:r w:rsidRPr="00EE3E7A">
        <w:t xml:space="preserve"> 1 línea de 5 KV, que cruza el ámbito de norte a este.</w:t>
      </w:r>
    </w:p>
    <w:p w:rsid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</w:pPr>
    </w:p>
    <w:p w:rsidR="00EE3E7A" w:rsidRP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</w:pPr>
    </w:p>
    <w:p w:rsid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</w:pPr>
      <w:r w:rsidRPr="00EE3E7A">
        <w:rPr>
          <w:rFonts w:eastAsia="SymbolMT"/>
        </w:rPr>
        <w:t xml:space="preserve">• </w:t>
      </w:r>
      <w:r w:rsidRPr="00EE3E7A">
        <w:t>CAMBIO DE UBICACIÓN DE LA SUBESTACIÓN ELÉCTRICA.</w:t>
      </w:r>
    </w:p>
    <w:p w:rsidR="00EE3E7A" w:rsidRP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</w:pPr>
    </w:p>
    <w:p w:rsidR="00EE3E7A" w:rsidRP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</w:pPr>
      <w:r>
        <w:t>-</w:t>
      </w:r>
      <w:r w:rsidRPr="00EE3E7A">
        <w:t xml:space="preserve"> Tal y como queda expuesto en el Plan General de Ordenación Urbana de Rivas-</w:t>
      </w:r>
      <w:proofErr w:type="spellStart"/>
      <w:r w:rsidRPr="00EE3E7A">
        <w:t>Vaciamadrid</w:t>
      </w:r>
      <w:proofErr w:type="spellEnd"/>
      <w:r w:rsidRPr="00EE3E7A">
        <w:t>,</w:t>
      </w:r>
      <w:r>
        <w:t xml:space="preserve"> </w:t>
      </w:r>
      <w:r w:rsidRPr="00EE3E7A">
        <w:t>se procederá al cambio de ubicación de la subestación, proponiéndose como lugar de</w:t>
      </w:r>
      <w:r>
        <w:t xml:space="preserve"> </w:t>
      </w:r>
      <w:r w:rsidRPr="00EE3E7A">
        <w:t>emplazamiento el Sector D “Industrial Norte”, ámbito que linda con el Sector B.</w:t>
      </w:r>
    </w:p>
    <w:p w:rsid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</w:pPr>
      <w:r>
        <w:t xml:space="preserve">- </w:t>
      </w:r>
      <w:r w:rsidRPr="00EE3E7A">
        <w:t>Al demandar potencia eléctrica los futuros desarrollos urbanísticos de la zona (Sector B “Cristo</w:t>
      </w:r>
      <w:r>
        <w:t xml:space="preserve"> </w:t>
      </w:r>
      <w:r w:rsidRPr="00EE3E7A">
        <w:t>de Rivas”, Sector C “La Fortuna”, y Sector E “Industrial Norte”), se procederá además a su</w:t>
      </w:r>
      <w:r>
        <w:t xml:space="preserve"> </w:t>
      </w:r>
      <w:r w:rsidRPr="00EE3E7A">
        <w:t>ampliación, para poder servir a los mencionados sectores.</w:t>
      </w:r>
    </w:p>
    <w:p w:rsid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</w:pPr>
    </w:p>
    <w:p w:rsidR="00EE3E7A" w:rsidRP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</w:pPr>
    </w:p>
    <w:p w:rsid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</w:pPr>
      <w:r w:rsidRPr="00EE3E7A">
        <w:rPr>
          <w:rFonts w:eastAsia="SymbolMT"/>
        </w:rPr>
        <w:t xml:space="preserve">• </w:t>
      </w:r>
      <w:r w:rsidRPr="00EE3E7A">
        <w:t>SOTERRAMIENTO DE LAS LÍNEAS AÉREAS.</w:t>
      </w:r>
    </w:p>
    <w:p w:rsidR="00EE3E7A" w:rsidRP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</w:pPr>
    </w:p>
    <w:p w:rsidR="00EE3E7A" w:rsidRP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</w:pPr>
      <w:r>
        <w:t>-</w:t>
      </w:r>
      <w:r w:rsidRPr="00EE3E7A">
        <w:t xml:space="preserve"> Las líneas aéreas localizadas en el sector, serán soterradas, discurriendo por los viales</w:t>
      </w:r>
    </w:p>
    <w:p w:rsidR="00EE3E7A" w:rsidRP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</w:pPr>
      <w:proofErr w:type="gramStart"/>
      <w:r w:rsidRPr="00EE3E7A">
        <w:t>diseñados</w:t>
      </w:r>
      <w:proofErr w:type="gramEnd"/>
      <w:r w:rsidRPr="00EE3E7A">
        <w:t xml:space="preserve"> en el interior del Sector B.</w:t>
      </w:r>
    </w:p>
    <w:p w:rsidR="00EE3E7A" w:rsidRP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</w:pPr>
      <w:r>
        <w:lastRenderedPageBreak/>
        <w:t>-</w:t>
      </w:r>
      <w:r w:rsidRPr="00EE3E7A">
        <w:t xml:space="preserve"> El trazado del soterramiento de las líneas eléctricas se describe a continuación.</w:t>
      </w:r>
    </w:p>
    <w:p w:rsidR="00EE3E7A" w:rsidRP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</w:pPr>
      <w:r>
        <w:t>-</w:t>
      </w:r>
      <w:r w:rsidRPr="00EE3E7A">
        <w:t xml:space="preserve"> Línea de 132 KV, 110KV, 45 KV, 45 KV. Transcurrirán por el Eje 5 del ámbito.</w:t>
      </w:r>
    </w:p>
    <w:p w:rsidR="00EE3E7A" w:rsidRP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</w:pPr>
      <w:r>
        <w:t>-</w:t>
      </w:r>
      <w:r w:rsidRPr="00EE3E7A">
        <w:t xml:space="preserve"> Línea de 15 KV, y 5 KV. Se diseñan discurriendo por el Eje 1 del ámbito.</w:t>
      </w:r>
    </w:p>
    <w:p w:rsidR="00EE3E7A" w:rsidRP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</w:pPr>
      <w:r>
        <w:t>-</w:t>
      </w:r>
      <w:r w:rsidRPr="00EE3E7A">
        <w:t xml:space="preserve"> Línea de 15 KV. Se diseñan transcurriendo por el Eje 6 del ámbito.</w:t>
      </w:r>
    </w:p>
    <w:p w:rsidR="00EE3E7A" w:rsidRP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</w:pPr>
      <w:r>
        <w:t>-</w:t>
      </w:r>
      <w:r w:rsidRPr="00EE3E7A">
        <w:t xml:space="preserve"> Línea de 5 KV. Discurriendo por el Sector E “Industrial Norte” llega a la subestación.</w:t>
      </w:r>
    </w:p>
    <w:p w:rsid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</w:pPr>
      <w:r>
        <w:t xml:space="preserve">- </w:t>
      </w:r>
      <w:r w:rsidRPr="00EE3E7A">
        <w:t>El voltaje de todas estas líneas, así como sus conexiones y trazados tanto actuales como</w:t>
      </w:r>
      <w:r>
        <w:t xml:space="preserve"> </w:t>
      </w:r>
      <w:r w:rsidRPr="00EE3E7A">
        <w:t>futuros serán refrendados por las compañías eléctricas titulares de las mismas</w:t>
      </w:r>
    </w:p>
    <w:p w:rsid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</w:pPr>
    </w:p>
    <w:p w:rsidR="00EE3E7A" w:rsidRP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</w:pPr>
    </w:p>
    <w:p w:rsid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</w:pPr>
      <w:r w:rsidRPr="00EE3E7A">
        <w:rPr>
          <w:rFonts w:eastAsia="SymbolMT"/>
        </w:rPr>
        <w:t xml:space="preserve">• </w:t>
      </w:r>
      <w:r w:rsidRPr="00EE3E7A">
        <w:t>CONEXIÓN CON EL EXTERIOR</w:t>
      </w:r>
    </w:p>
    <w:p w:rsidR="00EE3E7A" w:rsidRP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</w:pPr>
    </w:p>
    <w:p w:rsidR="00EE3E7A" w:rsidRP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</w:pPr>
      <w:r>
        <w:t xml:space="preserve">- </w:t>
      </w:r>
      <w:r w:rsidRPr="00EE3E7A">
        <w:t>La conexión de la red interior de energía eléctrica con la red exterior se realiza a través de la</w:t>
      </w:r>
      <w:r>
        <w:t xml:space="preserve"> </w:t>
      </w:r>
      <w:r w:rsidRPr="00EE3E7A">
        <w:t>nueva Subestación Eléctrica mencionada con anterioridad.</w:t>
      </w:r>
    </w:p>
    <w:p w:rsid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</w:pPr>
      <w:r>
        <w:t>-</w:t>
      </w:r>
      <w:r w:rsidRPr="00EE3E7A">
        <w:t xml:space="preserve"> Esta conexión se efectuará a través del límite occidental del ámbito, integrándose con la nueva</w:t>
      </w:r>
      <w:r>
        <w:t xml:space="preserve"> </w:t>
      </w:r>
      <w:r w:rsidRPr="00EE3E7A">
        <w:t>red de media tensión a proyectar en el sector a partir del Eje 5.</w:t>
      </w:r>
    </w:p>
    <w:p w:rsid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</w:pPr>
    </w:p>
    <w:p w:rsidR="00EE3E7A" w:rsidRP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</w:pPr>
    </w:p>
    <w:p w:rsid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</w:pPr>
      <w:r w:rsidRPr="00EE3E7A">
        <w:rPr>
          <w:rFonts w:eastAsia="SymbolMT"/>
        </w:rPr>
        <w:t xml:space="preserve">• </w:t>
      </w:r>
      <w:r w:rsidRPr="00EE3E7A">
        <w:t>DOTACIONES Y CRITERIOS DE CÁLCULO</w:t>
      </w:r>
    </w:p>
    <w:p w:rsidR="00EE3E7A" w:rsidRP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</w:pPr>
    </w:p>
    <w:p w:rsidR="00EE3E7A" w:rsidRP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</w:pPr>
      <w:r>
        <w:t xml:space="preserve">- </w:t>
      </w:r>
      <w:r w:rsidRPr="00EE3E7A">
        <w:t>Con los criterios de dotaciones de la Compañía se determinan las potencias aproximadas</w:t>
      </w:r>
      <w:r>
        <w:t xml:space="preserve"> </w:t>
      </w:r>
      <w:r w:rsidRPr="00EE3E7A">
        <w:t>demandadas en el sector en KW. Las dotaciones de la Compañía Suministradora según los</w:t>
      </w:r>
      <w:r>
        <w:t xml:space="preserve"> </w:t>
      </w:r>
      <w:r w:rsidRPr="00EE3E7A">
        <w:t>distintos usos del sector son las siguientes:</w:t>
      </w:r>
    </w:p>
    <w:p w:rsidR="00EE3E7A" w:rsidRP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</w:pPr>
      <w:r w:rsidRPr="00EE3E7A">
        <w:rPr>
          <w:rFonts w:ascii="Arial" w:hAnsi="Arial"/>
        </w:rPr>
        <w:t>􀂃</w:t>
      </w:r>
      <w:r w:rsidRPr="00EE3E7A">
        <w:t xml:space="preserve"> Residencial 5.750,00 W / vivienda</w:t>
      </w:r>
    </w:p>
    <w:p w:rsidR="00EE3E7A" w:rsidRP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</w:pPr>
      <w:r w:rsidRPr="00EE3E7A">
        <w:rPr>
          <w:rFonts w:ascii="Arial" w:hAnsi="Arial"/>
        </w:rPr>
        <w:t>􀂃</w:t>
      </w:r>
      <w:r w:rsidRPr="00EE3E7A">
        <w:t xml:space="preserve"> Dotacional 100,00 W / m2 </w:t>
      </w:r>
      <w:proofErr w:type="spellStart"/>
      <w:r w:rsidRPr="00EE3E7A">
        <w:t>const</w:t>
      </w:r>
      <w:proofErr w:type="spellEnd"/>
      <w:r w:rsidRPr="00EE3E7A">
        <w:t>.</w:t>
      </w:r>
    </w:p>
    <w:p w:rsidR="00EE3E7A" w:rsidRP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</w:pPr>
      <w:r w:rsidRPr="00EE3E7A">
        <w:rPr>
          <w:rFonts w:ascii="Arial" w:hAnsi="Arial"/>
        </w:rPr>
        <w:t>􀂃</w:t>
      </w:r>
      <w:r w:rsidRPr="00EE3E7A">
        <w:t xml:space="preserve"> Equipamiento 50,00 W / m2 </w:t>
      </w:r>
      <w:proofErr w:type="spellStart"/>
      <w:r w:rsidRPr="00EE3E7A">
        <w:t>const</w:t>
      </w:r>
      <w:proofErr w:type="spellEnd"/>
      <w:r w:rsidRPr="00EE3E7A">
        <w:t>.</w:t>
      </w:r>
    </w:p>
    <w:p w:rsidR="00EE3E7A" w:rsidRP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</w:pPr>
      <w:r w:rsidRPr="00EE3E7A">
        <w:rPr>
          <w:rFonts w:ascii="Arial" w:hAnsi="Arial"/>
        </w:rPr>
        <w:t>􀂃</w:t>
      </w:r>
      <w:r w:rsidRPr="00EE3E7A">
        <w:t xml:space="preserve"> Viario 2,00 W / m2 suelo.</w:t>
      </w:r>
    </w:p>
    <w:p w:rsidR="00EE3E7A" w:rsidRP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</w:pPr>
      <w:r w:rsidRPr="00EE3E7A">
        <w:rPr>
          <w:rFonts w:ascii="Arial" w:hAnsi="Arial"/>
        </w:rPr>
        <w:t>􀂃</w:t>
      </w:r>
      <w:r w:rsidRPr="00EE3E7A">
        <w:t xml:space="preserve"> Zona verde 0,90 W / m2 suelo.</w:t>
      </w:r>
    </w:p>
    <w:p w:rsidR="00EE3E7A" w:rsidRPr="00EE3E7A" w:rsidRDefault="00901F9C" w:rsidP="00901F9C">
      <w:pPr>
        <w:autoSpaceDE w:val="0"/>
        <w:autoSpaceDN w:val="0"/>
        <w:adjustRightInd w:val="0"/>
        <w:spacing w:after="0" w:line="360" w:lineRule="auto"/>
        <w:jc w:val="both"/>
      </w:pPr>
      <w:r>
        <w:t>-</w:t>
      </w:r>
      <w:r w:rsidR="00EE3E7A" w:rsidRPr="00EE3E7A">
        <w:t xml:space="preserve"> Con estas dotaciones y teniendo en cuenta el número de viviendas, la superficie construida de</w:t>
      </w:r>
      <w:r>
        <w:t xml:space="preserve"> </w:t>
      </w:r>
      <w:r w:rsidR="00EE3E7A" w:rsidRPr="00EE3E7A">
        <w:t>uso dotacional y equipamiento, y las superficies destinadas a viario y zonas verdes, la potencia</w:t>
      </w:r>
      <w:r>
        <w:t xml:space="preserve"> </w:t>
      </w:r>
      <w:r w:rsidR="00EE3E7A" w:rsidRPr="00EE3E7A">
        <w:t xml:space="preserve">total demandada por el sector es de </w:t>
      </w:r>
      <w:r w:rsidR="00EE3E7A" w:rsidRPr="00EE3E7A">
        <w:rPr>
          <w:b/>
          <w:bCs/>
        </w:rPr>
        <w:t>82.402,56 KW</w:t>
      </w:r>
      <w:r w:rsidR="00EE3E7A" w:rsidRPr="00EE3E7A">
        <w:t>.</w:t>
      </w:r>
    </w:p>
    <w:p w:rsidR="00EE3E7A" w:rsidRDefault="00901F9C" w:rsidP="00901F9C">
      <w:pPr>
        <w:autoSpaceDE w:val="0"/>
        <w:autoSpaceDN w:val="0"/>
        <w:adjustRightInd w:val="0"/>
        <w:spacing w:after="0" w:line="360" w:lineRule="auto"/>
        <w:jc w:val="both"/>
      </w:pPr>
      <w:r>
        <w:t xml:space="preserve">- </w:t>
      </w:r>
      <w:r w:rsidR="00EE3E7A" w:rsidRPr="00EE3E7A">
        <w:t>Aplicando los factores de simultaneidad para el uso residencia y el resto de usos; y el factor de</w:t>
      </w:r>
      <w:r>
        <w:t xml:space="preserve"> </w:t>
      </w:r>
      <w:r w:rsidR="00EE3E7A" w:rsidRPr="00EE3E7A">
        <w:t xml:space="preserve">potencia, la potencia total demandada por el sector es de </w:t>
      </w:r>
      <w:r w:rsidR="00EE3E7A" w:rsidRPr="00EE3E7A">
        <w:rPr>
          <w:b/>
          <w:bCs/>
        </w:rPr>
        <w:t>41.229,60 KVA</w:t>
      </w:r>
      <w:r w:rsidR="00EE3E7A" w:rsidRPr="00EE3E7A">
        <w:t>.</w:t>
      </w:r>
    </w:p>
    <w:p w:rsid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</w:pPr>
    </w:p>
    <w:p w:rsidR="00EE3E7A" w:rsidRP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</w:pPr>
    </w:p>
    <w:p w:rsid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</w:pPr>
      <w:r w:rsidRPr="00EE3E7A">
        <w:rPr>
          <w:rFonts w:eastAsia="SymbolMT"/>
        </w:rPr>
        <w:lastRenderedPageBreak/>
        <w:t xml:space="preserve">• </w:t>
      </w:r>
      <w:r w:rsidRPr="00EE3E7A">
        <w:t>DESCRIPCIÓN DE LA PROPUESTA</w:t>
      </w:r>
    </w:p>
    <w:p w:rsidR="00EE3E7A" w:rsidRP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</w:pPr>
    </w:p>
    <w:p w:rsidR="00EE3E7A" w:rsidRPr="00EE3E7A" w:rsidRDefault="00901F9C" w:rsidP="00901F9C">
      <w:pPr>
        <w:autoSpaceDE w:val="0"/>
        <w:autoSpaceDN w:val="0"/>
        <w:adjustRightInd w:val="0"/>
        <w:spacing w:after="0" w:line="360" w:lineRule="auto"/>
        <w:jc w:val="both"/>
      </w:pPr>
      <w:r>
        <w:t>-</w:t>
      </w:r>
      <w:r w:rsidR="00EE3E7A" w:rsidRPr="00EE3E7A">
        <w:t xml:space="preserve"> La Empresa Suministradora de energía eléctrica en esta zona es UNION FENOSA, S.A.</w:t>
      </w:r>
    </w:p>
    <w:p w:rsidR="00EE3E7A" w:rsidRPr="00EE3E7A" w:rsidRDefault="00901F9C" w:rsidP="00901F9C">
      <w:pPr>
        <w:autoSpaceDE w:val="0"/>
        <w:autoSpaceDN w:val="0"/>
        <w:adjustRightInd w:val="0"/>
        <w:spacing w:after="0" w:line="360" w:lineRule="auto"/>
        <w:jc w:val="both"/>
      </w:pPr>
      <w:r>
        <w:t>-</w:t>
      </w:r>
      <w:r w:rsidR="00EE3E7A" w:rsidRPr="00EE3E7A">
        <w:t xml:space="preserve"> Para el suministro eléctrico de la urbanización, es preciso la instalación de 104 Centros de</w:t>
      </w:r>
      <w:r>
        <w:t xml:space="preserve"> </w:t>
      </w:r>
      <w:r w:rsidR="00EE3E7A" w:rsidRPr="00EE3E7A">
        <w:t>Transformación con una potencia cada uno de ellos de 400 KVA.</w:t>
      </w:r>
    </w:p>
    <w:p w:rsidR="00EE3E7A" w:rsidRPr="00EE3E7A" w:rsidRDefault="00901F9C" w:rsidP="00901F9C">
      <w:pPr>
        <w:autoSpaceDE w:val="0"/>
        <w:autoSpaceDN w:val="0"/>
        <w:adjustRightInd w:val="0"/>
        <w:spacing w:after="0" w:line="360" w:lineRule="auto"/>
        <w:jc w:val="both"/>
      </w:pPr>
      <w:r>
        <w:t xml:space="preserve">- </w:t>
      </w:r>
      <w:r w:rsidR="00EE3E7A" w:rsidRPr="00EE3E7A">
        <w:t>La tensión de distribución es de 3 x 380 / 110 V. Estos centros de transformación irán ubicados</w:t>
      </w:r>
      <w:r w:rsidR="00EE3E7A">
        <w:t xml:space="preserve"> </w:t>
      </w:r>
      <w:r w:rsidR="00EE3E7A" w:rsidRPr="00EE3E7A">
        <w:t>en edificios prefabricados subterráneos y en los puntos señalados en el plano de la red de</w:t>
      </w:r>
      <w:r w:rsidR="00EE3E7A">
        <w:t xml:space="preserve"> </w:t>
      </w:r>
      <w:r w:rsidR="00EE3E7A" w:rsidRPr="00EE3E7A">
        <w:t>distribución de energía.</w:t>
      </w:r>
    </w:p>
    <w:p w:rsidR="00EE3E7A" w:rsidRDefault="00901F9C" w:rsidP="00901F9C">
      <w:pPr>
        <w:spacing w:line="360" w:lineRule="auto"/>
        <w:jc w:val="both"/>
      </w:pPr>
      <w:r>
        <w:t>-</w:t>
      </w:r>
      <w:r w:rsidR="00EE3E7A" w:rsidRPr="00EE3E7A">
        <w:t xml:space="preserve"> La acometida a los centros de transformación serán a media tensión, en subterráneo y con</w:t>
      </w:r>
      <w:r w:rsidR="00EE3E7A">
        <w:t xml:space="preserve"> </w:t>
      </w:r>
      <w:r w:rsidR="00EE3E7A" w:rsidRPr="00EE3E7A">
        <w:t>cable BH21 de 3 (1 x 240) mm2 de sección en aluminio.</w:t>
      </w:r>
    </w:p>
    <w:p w:rsidR="00EE3E7A" w:rsidRDefault="00901F9C" w:rsidP="00901F9C">
      <w:pPr>
        <w:spacing w:line="360" w:lineRule="auto"/>
        <w:jc w:val="both"/>
      </w:pPr>
      <w:r>
        <w:t>-</w:t>
      </w:r>
      <w:r w:rsidR="00EE3E7A" w:rsidRPr="00EE3E7A">
        <w:t xml:space="preserve"> La red de baja tensión de alimentación a las parcelas, se realizará en subterráneo con cable RV</w:t>
      </w:r>
      <w:r w:rsidR="00EE3E7A">
        <w:t xml:space="preserve"> </w:t>
      </w:r>
      <w:r w:rsidR="00EE3E7A" w:rsidRPr="00EE3E7A">
        <w:t>de 3 x 240 + 1 x 150 mm2 de sección de aluminio.</w:t>
      </w:r>
    </w:p>
    <w:p w:rsidR="00EE3E7A" w:rsidRPr="00EE3E7A" w:rsidRDefault="00901F9C" w:rsidP="00901F9C">
      <w:pPr>
        <w:spacing w:line="360" w:lineRule="auto"/>
        <w:jc w:val="both"/>
      </w:pPr>
      <w:r>
        <w:t>-</w:t>
      </w:r>
      <w:r w:rsidR="00EE3E7A" w:rsidRPr="00EE3E7A">
        <w:t xml:space="preserve"> Desde los centros de transformación y conforme se señala en los planos, tanto la red de media</w:t>
      </w:r>
      <w:r w:rsidR="00EE3E7A">
        <w:t xml:space="preserve"> </w:t>
      </w:r>
      <w:r w:rsidR="00EE3E7A" w:rsidRPr="00EE3E7A">
        <w:t>tensión como la red de baja tensión se desarrollan por las aceras y conforme a la normativa de</w:t>
      </w:r>
      <w:r w:rsidR="00EE3E7A">
        <w:t xml:space="preserve"> </w:t>
      </w:r>
      <w:r w:rsidR="00EE3E7A" w:rsidRPr="00EE3E7A">
        <w:t>la Compañía Suministradora que es UNION FENOSA, S.A.</w:t>
      </w:r>
    </w:p>
    <w:p w:rsidR="00EE3E7A" w:rsidRPr="00EE3E7A" w:rsidRDefault="00901F9C" w:rsidP="00901F9C">
      <w:pPr>
        <w:autoSpaceDE w:val="0"/>
        <w:autoSpaceDN w:val="0"/>
        <w:adjustRightInd w:val="0"/>
        <w:spacing w:after="0" w:line="360" w:lineRule="auto"/>
        <w:jc w:val="both"/>
      </w:pPr>
      <w:r>
        <w:t xml:space="preserve">- </w:t>
      </w:r>
      <w:r w:rsidR="00EE3E7A" w:rsidRPr="00EE3E7A">
        <w:t>De acuerdo con la Compañía Suministradora UNION FENOSA, S.A., se ha previsto el</w:t>
      </w:r>
      <w:r w:rsidR="00EE3E7A">
        <w:t xml:space="preserve"> </w:t>
      </w:r>
      <w:r w:rsidR="00EE3E7A" w:rsidRPr="00EE3E7A">
        <w:t>abastecimiento eléctrico del Sector mediante la conexión con la red existente próxima al</w:t>
      </w:r>
      <w:r w:rsidR="00EE3E7A">
        <w:t xml:space="preserve"> </w:t>
      </w:r>
      <w:r w:rsidR="00EE3E7A" w:rsidRPr="00EE3E7A">
        <w:t>ámbito, cerrando el anillo con los Cs-</w:t>
      </w:r>
      <w:proofErr w:type="spellStart"/>
      <w:r w:rsidR="00EE3E7A" w:rsidRPr="00EE3E7A">
        <w:t>Ts</w:t>
      </w:r>
      <w:proofErr w:type="spellEnd"/>
      <w:r w:rsidR="00EE3E7A" w:rsidRPr="00EE3E7A">
        <w:t xml:space="preserve"> y uniendo con el futuro Sector B </w:t>
      </w:r>
      <w:proofErr w:type="gramStart"/>
      <w:r w:rsidR="00EE3E7A" w:rsidRPr="00EE3E7A">
        <w:t>“ Cristo</w:t>
      </w:r>
      <w:proofErr w:type="gramEnd"/>
      <w:r w:rsidR="00EE3E7A" w:rsidRPr="00EE3E7A">
        <w:t xml:space="preserve"> de Rivas”.</w:t>
      </w:r>
    </w:p>
    <w:p w:rsidR="00EE3E7A" w:rsidRPr="00EE3E7A" w:rsidRDefault="00901F9C" w:rsidP="00901F9C">
      <w:pPr>
        <w:autoSpaceDE w:val="0"/>
        <w:autoSpaceDN w:val="0"/>
        <w:adjustRightInd w:val="0"/>
        <w:spacing w:after="0" w:line="360" w:lineRule="auto"/>
        <w:jc w:val="both"/>
      </w:pPr>
      <w:r>
        <w:t>-</w:t>
      </w:r>
      <w:r w:rsidR="00EE3E7A" w:rsidRPr="00EE3E7A">
        <w:t xml:space="preserve"> El cable de Alta Tensión irá siempre por debajo del de Baja Tensión y cumplirán en todo</w:t>
      </w:r>
      <w:r w:rsidR="00EE3E7A">
        <w:t xml:space="preserve"> </w:t>
      </w:r>
      <w:r w:rsidR="00EE3E7A" w:rsidRPr="00EE3E7A">
        <w:t>momento las normas de la Cía. Suministradora.</w:t>
      </w:r>
    </w:p>
    <w:p w:rsidR="00EE3E7A" w:rsidRPr="00EE3E7A" w:rsidRDefault="00901F9C" w:rsidP="00901F9C">
      <w:pPr>
        <w:autoSpaceDE w:val="0"/>
        <w:autoSpaceDN w:val="0"/>
        <w:adjustRightInd w:val="0"/>
        <w:spacing w:after="0" w:line="360" w:lineRule="auto"/>
        <w:jc w:val="both"/>
      </w:pPr>
      <w:r>
        <w:t xml:space="preserve">- </w:t>
      </w:r>
      <w:r w:rsidR="00EE3E7A" w:rsidRPr="00EE3E7A">
        <w:t>Tanto en Media como en Baja tensión se colocarán tubos de PVC de diámetro a 160 mm., y</w:t>
      </w:r>
      <w:r w:rsidR="00EE3E7A">
        <w:t xml:space="preserve"> </w:t>
      </w:r>
      <w:r w:rsidR="00EE3E7A" w:rsidRPr="00EE3E7A">
        <w:t>siempre con la normativa de la Cía. Suministradora. En cada parcela se instalará un armario</w:t>
      </w:r>
      <w:r w:rsidR="00EE3E7A">
        <w:t xml:space="preserve"> </w:t>
      </w:r>
      <w:r w:rsidR="00EE3E7A" w:rsidRPr="00EE3E7A">
        <w:t>normalizado de protección y medida tipo CPM2-D4/4ST con mando interior para</w:t>
      </w:r>
      <w:r w:rsidR="00EE3E7A">
        <w:t xml:space="preserve"> </w:t>
      </w:r>
      <w:r w:rsidR="00EE3E7A" w:rsidRPr="00EE3E7A">
        <w:t>seccionamiento y protección de la red, montado sobre peana de ladrillo macizo.</w:t>
      </w:r>
    </w:p>
    <w:p w:rsidR="00EE3E7A" w:rsidRPr="00EE3E7A" w:rsidRDefault="00901F9C" w:rsidP="00901F9C">
      <w:pPr>
        <w:autoSpaceDE w:val="0"/>
        <w:autoSpaceDN w:val="0"/>
        <w:adjustRightInd w:val="0"/>
        <w:spacing w:after="0" w:line="360" w:lineRule="auto"/>
        <w:jc w:val="both"/>
      </w:pPr>
      <w:r>
        <w:t xml:space="preserve">- </w:t>
      </w:r>
      <w:r w:rsidR="00EE3E7A" w:rsidRPr="00EE3E7A">
        <w:t>Los empalmes y terminados a emplear, corresponderán a normativa de la compañía. En</w:t>
      </w:r>
      <w:r w:rsidR="00EE3E7A">
        <w:t xml:space="preserve"> </w:t>
      </w:r>
      <w:r w:rsidR="00EE3E7A" w:rsidRPr="00EE3E7A">
        <w:t>acometidas subterráneas deberán protegerse adecuadamente, en su origen, mediante</w:t>
      </w:r>
    </w:p>
    <w:p w:rsid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</w:pPr>
      <w:proofErr w:type="gramStart"/>
      <w:r w:rsidRPr="00EE3E7A">
        <w:t>cortacircuitos</w:t>
      </w:r>
      <w:proofErr w:type="gramEnd"/>
      <w:r w:rsidRPr="00EE3E7A">
        <w:t xml:space="preserve"> fusibles de alto poder de ruptura, de suficiente capacidad de corte para el punto</w:t>
      </w:r>
      <w:r>
        <w:t xml:space="preserve"> </w:t>
      </w:r>
      <w:r w:rsidRPr="00EE3E7A">
        <w:t>de su instalación.</w:t>
      </w:r>
    </w:p>
    <w:p w:rsid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</w:pPr>
    </w:p>
    <w:p w:rsidR="00EE3E7A" w:rsidRP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</w:pPr>
    </w:p>
    <w:p w:rsid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</w:pPr>
      <w:r w:rsidRPr="00EE3E7A">
        <w:rPr>
          <w:rFonts w:eastAsia="SymbolMT"/>
        </w:rPr>
        <w:lastRenderedPageBreak/>
        <w:t xml:space="preserve">• </w:t>
      </w:r>
      <w:r w:rsidRPr="00EE3E7A">
        <w:t>CONDICIONES PARA EL PROYECTO:</w:t>
      </w:r>
    </w:p>
    <w:p w:rsidR="00EE3E7A" w:rsidRPr="00EE3E7A" w:rsidRDefault="00EE3E7A" w:rsidP="00901F9C">
      <w:pPr>
        <w:autoSpaceDE w:val="0"/>
        <w:autoSpaceDN w:val="0"/>
        <w:adjustRightInd w:val="0"/>
        <w:spacing w:after="0" w:line="360" w:lineRule="auto"/>
        <w:jc w:val="both"/>
      </w:pPr>
    </w:p>
    <w:p w:rsidR="00EE3E7A" w:rsidRPr="00EE3E7A" w:rsidRDefault="00901F9C" w:rsidP="00901F9C">
      <w:pPr>
        <w:autoSpaceDE w:val="0"/>
        <w:autoSpaceDN w:val="0"/>
        <w:adjustRightInd w:val="0"/>
        <w:spacing w:after="0" w:line="360" w:lineRule="auto"/>
        <w:jc w:val="both"/>
      </w:pPr>
      <w:r>
        <w:t xml:space="preserve">- </w:t>
      </w:r>
      <w:r w:rsidR="00EE3E7A" w:rsidRPr="00EE3E7A">
        <w:t>La red aquí propuesta, se desarrollará en detalle en el Proyecto de Urbanización.</w:t>
      </w:r>
    </w:p>
    <w:p w:rsidR="00EE3E7A" w:rsidRPr="00EE3E7A" w:rsidRDefault="00901F9C" w:rsidP="00901F9C">
      <w:pPr>
        <w:autoSpaceDE w:val="0"/>
        <w:autoSpaceDN w:val="0"/>
        <w:adjustRightInd w:val="0"/>
        <w:spacing w:after="0" w:line="360" w:lineRule="auto"/>
        <w:jc w:val="both"/>
      </w:pPr>
      <w:r>
        <w:t>-</w:t>
      </w:r>
      <w:r w:rsidR="00EE3E7A" w:rsidRPr="00EE3E7A">
        <w:t xml:space="preserve"> Se respetarán los criterios municipales y de la Compañía UNION FENOSA, S.A. al respecto,</w:t>
      </w:r>
      <w:r>
        <w:t xml:space="preserve"> </w:t>
      </w:r>
      <w:r w:rsidR="00EE3E7A" w:rsidRPr="00EE3E7A">
        <w:t>así como los Reglamentos Electrotécnicos de Baja y Media Tensión.</w:t>
      </w:r>
    </w:p>
    <w:sectPr w:rsidR="00EE3E7A" w:rsidRPr="00EE3E7A" w:rsidSect="003031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37171"/>
    <w:multiLevelType w:val="hybridMultilevel"/>
    <w:tmpl w:val="6436059E"/>
    <w:lvl w:ilvl="0" w:tplc="0B3EBE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AB06EF"/>
    <w:multiLevelType w:val="hybridMultilevel"/>
    <w:tmpl w:val="A8AC55CA"/>
    <w:lvl w:ilvl="0" w:tplc="385ECD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D64C5C"/>
    <w:multiLevelType w:val="hybridMultilevel"/>
    <w:tmpl w:val="1C4AA9C4"/>
    <w:lvl w:ilvl="0" w:tplc="16CE20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E3E7A"/>
    <w:rsid w:val="00303140"/>
    <w:rsid w:val="00901F9C"/>
    <w:rsid w:val="00E406CB"/>
    <w:rsid w:val="00EE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1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3E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870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Jesús De Miguel Pérez</dc:creator>
  <cp:lastModifiedBy>Jesús De Miguel Pérez</cp:lastModifiedBy>
  <cp:revision>1</cp:revision>
  <dcterms:created xsi:type="dcterms:W3CDTF">2011-05-02T19:19:00Z</dcterms:created>
  <dcterms:modified xsi:type="dcterms:W3CDTF">2011-05-02T19:34:00Z</dcterms:modified>
</cp:coreProperties>
</file>