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8E" w:rsidRDefault="00DA0126" w:rsidP="006D348E">
      <w:pPr>
        <w:spacing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A/A SANTANDER BANIF INMOBILIARIO F.I.I.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Avenida de Cantabria s/n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Edificio Pinar, Planta 1ª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 xml:space="preserve">28660 </w:t>
      </w:r>
      <w:proofErr w:type="spellStart"/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Boadilla</w:t>
      </w:r>
      <w:proofErr w:type="spellEnd"/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 xml:space="preserve"> del Monte</w:t>
      </w:r>
    </w:p>
    <w:p w:rsidR="006D348E" w:rsidRDefault="00DA0126" w:rsidP="006D348E">
      <w:pPr>
        <w:spacing w:after="0" w:line="240" w:lineRule="auto"/>
        <w:jc w:val="both"/>
        <w:rPr>
          <w:rStyle w:val="apple-converted-space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Madrid</w:t>
      </w:r>
      <w:r w:rsidRPr="006D348E">
        <w:rPr>
          <w:rFonts w:ascii="Trebuchet MS" w:hAnsi="Trebuchet MS"/>
          <w:color w:val="555555"/>
          <w:sz w:val="20"/>
          <w:szCs w:val="24"/>
        </w:rPr>
        <w:br/>
      </w:r>
      <w:r w:rsidRPr="006D348E">
        <w:rPr>
          <w:rStyle w:val="apple-style-span"/>
          <w:rFonts w:ascii="Trebuchet MS" w:hAnsi="Trebuchet MS"/>
          <w:color w:val="555555"/>
          <w:sz w:val="20"/>
          <w:szCs w:val="24"/>
        </w:rPr>
        <w:t>ASUNTO: “TASA DE BASURAS”</w:t>
      </w:r>
    </w:p>
    <w:p w:rsidR="006D348E" w:rsidRDefault="006D348E" w:rsidP="006D348E">
      <w:pPr>
        <w:spacing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</w:p>
    <w:p w:rsidR="006D348E" w:rsidRDefault="00DA0126" w:rsidP="006D348E">
      <w:pPr>
        <w:spacing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Estimados señores,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="006D348E">
        <w:rPr>
          <w:rStyle w:val="apple-style-span"/>
          <w:rFonts w:ascii="Verdana" w:hAnsi="Verdana"/>
          <w:color w:val="555555"/>
          <w:sz w:val="20"/>
          <w:szCs w:val="24"/>
        </w:rPr>
        <w:t xml:space="preserve">En el recibo correspondiente al alquiler del mes de diciembre de la vivienda </w:t>
      </w:r>
      <w:r w:rsidR="00E5413A">
        <w:rPr>
          <w:rStyle w:val="apple-style-span"/>
          <w:rFonts w:ascii="Verdana" w:hAnsi="Verdana"/>
          <w:color w:val="555555"/>
          <w:sz w:val="20"/>
          <w:szCs w:val="24"/>
        </w:rPr>
        <w:t>[XXXXXXXXXXXXXXX]</w:t>
      </w:r>
      <w:r w:rsidR="00296A1F">
        <w:rPr>
          <w:rStyle w:val="apple-style-span"/>
          <w:rFonts w:ascii="Verdana" w:hAnsi="Verdana"/>
          <w:color w:val="555555"/>
          <w:sz w:val="20"/>
          <w:szCs w:val="24"/>
        </w:rPr>
        <w:t>, de la que soy inquilino</w:t>
      </w:r>
      <w:r w:rsidR="006D348E">
        <w:rPr>
          <w:rStyle w:val="apple-style-span"/>
          <w:rFonts w:ascii="Verdana" w:hAnsi="Verdana"/>
          <w:color w:val="555555"/>
          <w:sz w:val="20"/>
          <w:szCs w:val="24"/>
        </w:rPr>
        <w:t xml:space="preserve">, se ha incrementado el importe de manera unilateral por su parte, en base a la repercusión de la </w:t>
      </w:r>
      <w:r w:rsidR="006D348E" w:rsidRPr="006D348E">
        <w:rPr>
          <w:rStyle w:val="apple-style-span"/>
          <w:rFonts w:ascii="Verdana" w:hAnsi="Verdana"/>
          <w:color w:val="555555"/>
          <w:sz w:val="20"/>
          <w:szCs w:val="24"/>
        </w:rPr>
        <w:t>tasa municipal por la prestación del servicio de gestión de residuos urbanos establecid</w:t>
      </w:r>
      <w:r w:rsidR="00296A1F">
        <w:rPr>
          <w:rStyle w:val="apple-style-span"/>
          <w:rFonts w:ascii="Verdana" w:hAnsi="Verdana"/>
          <w:color w:val="555555"/>
          <w:sz w:val="20"/>
          <w:szCs w:val="24"/>
        </w:rPr>
        <w:t>a por el Ayuntamiento de Madrid, y además, han tratado ustedes de incluir el importe dentro del recibo de alquiler.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Al respecto, me permito recordarles lo siguiente: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La Ordenanza Fiscal Reguladora de las Tasas por Servicios y Actividades Relacionadas con el Medio Ambiente de Madrid considera al Arrendador, en su artículo 8, como Sustituto del Contribuyente.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La definición de Sustituto del Contribuyente podemos encontrarla en el apartado 3 del artículo 36 de la Ley 58/2003 de 17 de Diciembre, General Tributaria:</w:t>
      </w: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“Es sustituto el sujeto pasivo que, por imposición de la ley y en lugar del contribuyente, está obligado a cumplir la obligación tributaria principal, así como las obligaciones formales inherentes a la misma.</w:t>
      </w:r>
      <w:r w:rsidR="006D348E">
        <w:rPr>
          <w:rStyle w:val="apple-style-span"/>
          <w:rFonts w:ascii="Verdana" w:hAnsi="Verdana"/>
          <w:color w:val="555555"/>
          <w:sz w:val="20"/>
          <w:szCs w:val="24"/>
        </w:rPr>
        <w:t xml:space="preserve"> </w:t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El sustituto podrá exigir del contribuyente el importe de las obligaciones tributarias satisfechas, salvo que la ley señale otra cosa.”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A este respecto, es determinante acudir a la Ley 29/1994, de 24 de noviembre, de Arrendamientos Urbanos, en la cual en el apartado 1 del artículo 20 dispone, en relación a los Gastos Generales y de Servicios Individuales: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“Las partes podrán pactar que los gastos generales para el adecuado sostenimiento del inmueble, sus servicios, tributos, cargas y responsabilidades que no sean susceptibles de individualización y que correspondan a la vivienda arrendada o a sus accesorios, sean a cargo del arrendatario […&gt;.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Para su validez, este pacto deberá constar por escrito y determinar el importe anual de dichos gastos a la fecha del contrato.”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No aparece referencia alguna a este extremo en el Contrato de Arrendamiento, puesto que la Cláusula Octava del citado Contrato se refiere a los “gastos e impuestos”, y en ningún caso a las tasas. Y cito: “…se señala expresamente que los demás gastos y los impuestos que se deriven del presente contrato […&gt; serán satisfecho por las partes conforme a lo dispuesto en la Ley”.</w:t>
      </w:r>
    </w:p>
    <w:p w:rsidR="006D348E" w:rsidRDefault="006D348E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</w:p>
    <w:p w:rsidR="006D348E" w:rsidRDefault="00DA0126" w:rsidP="006D348E">
      <w:pPr>
        <w:spacing w:after="0" w:line="240" w:lineRule="auto"/>
        <w:jc w:val="both"/>
        <w:rPr>
          <w:rStyle w:val="apple-converted-space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En cualquier caso, esta cláusula vuelve a remitirse a lo dispuesto en la Ley, cuya literalidad ya se ha puesto de manifiesto anteriormente, diciendo que “</w:t>
      </w:r>
      <w:r w:rsidRPr="006D348E">
        <w:rPr>
          <w:rStyle w:val="apple-style-span"/>
          <w:rFonts w:ascii="Verdana" w:hAnsi="Verdana"/>
          <w:b/>
          <w:color w:val="555555"/>
          <w:sz w:val="20"/>
          <w:szCs w:val="24"/>
        </w:rPr>
        <w:t>este pacto deberá constar por escrito</w:t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”.</w:t>
      </w:r>
      <w:r w:rsidRPr="006D348E">
        <w:rPr>
          <w:rStyle w:val="apple-converted-space"/>
          <w:rFonts w:ascii="Verdana" w:hAnsi="Verdana"/>
          <w:color w:val="555555"/>
          <w:sz w:val="20"/>
          <w:szCs w:val="24"/>
        </w:rPr>
        <w:t> 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Por otro lado, el apartado 4 del artículo 17 de la misma Ley 29/1994 señala:</w:t>
      </w: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“El arrendador queda obligado a entregar recibo del pago, salvo que se hubiera pactado que éste se realice mediante procedimientos que acrediten el efectivo cumplimiento de la obligación de pago por el arrendatario.</w:t>
      </w:r>
      <w:r w:rsidR="006D348E">
        <w:rPr>
          <w:rStyle w:val="apple-style-span"/>
          <w:rFonts w:ascii="Verdana" w:hAnsi="Verdana"/>
          <w:color w:val="555555"/>
          <w:sz w:val="20"/>
          <w:szCs w:val="24"/>
        </w:rPr>
        <w:t xml:space="preserve"> </w:t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El recibo o documento que lo sustituya deberá contener separadamente las cantidades abonadas por los distintos conceptos de los que se componga la totalidad del pago, y específicamente la renta en vigor.”</w:t>
      </w:r>
    </w:p>
    <w:p w:rsidR="006D348E" w:rsidRDefault="006D348E" w:rsidP="006D348E">
      <w:pPr>
        <w:spacing w:after="0" w:line="240" w:lineRule="auto"/>
        <w:jc w:val="both"/>
        <w:rPr>
          <w:rFonts w:ascii="Verdana" w:hAnsi="Verdana"/>
          <w:color w:val="555555"/>
          <w:sz w:val="20"/>
          <w:szCs w:val="24"/>
        </w:rPr>
      </w:pPr>
    </w:p>
    <w:p w:rsidR="006D348E" w:rsidRDefault="006D348E" w:rsidP="006D348E">
      <w:pPr>
        <w:spacing w:after="0" w:line="240" w:lineRule="auto"/>
        <w:jc w:val="both"/>
        <w:rPr>
          <w:rFonts w:ascii="Verdana" w:hAnsi="Verdana"/>
          <w:color w:val="555555"/>
          <w:sz w:val="20"/>
          <w:szCs w:val="24"/>
        </w:rPr>
      </w:pPr>
    </w:p>
    <w:p w:rsidR="006D348E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Por todo lo expuesto anteriormente se concluye que:</w:t>
      </w:r>
    </w:p>
    <w:p w:rsidR="006D348E" w:rsidRDefault="006D348E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</w:p>
    <w:p w:rsidR="006D348E" w:rsidRPr="00E5413A" w:rsidRDefault="00DA0126" w:rsidP="006D34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Está OBLIGADO AL PAGO EL ARRENDADOR, en virtud de la Ordenanza Municipal.</w:t>
      </w:r>
    </w:p>
    <w:p w:rsidR="00E5413A" w:rsidRPr="006D348E" w:rsidRDefault="00E5413A" w:rsidP="00E5413A">
      <w:pPr>
        <w:pStyle w:val="Prrafodelista"/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</w:p>
    <w:p w:rsidR="006D348E" w:rsidRPr="006D348E" w:rsidRDefault="00DA0126" w:rsidP="006D34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color w:val="555555"/>
          <w:sz w:val="20"/>
          <w:szCs w:val="24"/>
        </w:rPr>
      </w:pPr>
      <w:r w:rsidRPr="00296A1F">
        <w:rPr>
          <w:rStyle w:val="apple-style-span"/>
          <w:rFonts w:ascii="Verdana" w:hAnsi="Verdana"/>
          <w:b/>
          <w:color w:val="555555"/>
          <w:sz w:val="20"/>
          <w:szCs w:val="24"/>
        </w:rPr>
        <w:t>EL ARRENDADOR NO TIENE DERECHO A REPERCUTIR LA TASA AL ARRENDATARIO, por no haberse pactado expresamente así en el Contrato de Arrendamiento</w:t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, según señala la Ley 29/1994 de Arrendamientos Urbanos.</w:t>
      </w:r>
    </w:p>
    <w:p w:rsidR="00E5413A" w:rsidRPr="00E5413A" w:rsidRDefault="00E5413A" w:rsidP="00E5413A">
      <w:pPr>
        <w:pStyle w:val="Prrafodelista"/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</w:p>
    <w:p w:rsidR="006D348E" w:rsidRPr="006D348E" w:rsidRDefault="00DA0126" w:rsidP="006D34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rebuchet MS" w:hAnsi="Trebuchet MS"/>
          <w:color w:val="555555"/>
          <w:sz w:val="20"/>
          <w:szCs w:val="24"/>
        </w:rPr>
      </w:pP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EN NINGÚN CASO la Ley 29/1994 de Arrendamientos Urbanos HABILITA A CARGAR UN ÚNICO RECIBO con el importe de la renta y cualquier otro concepto adicional, tal y como manifiesta su Administrador en la comunicación remitida, ya que el artículo 17.4 de la citada ley obliga a que se haga por separado.</w:t>
      </w:r>
    </w:p>
    <w:p w:rsidR="006D348E" w:rsidRDefault="006D348E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4"/>
        </w:rPr>
      </w:pPr>
    </w:p>
    <w:p w:rsidR="00E60FA5" w:rsidRPr="00E5413A" w:rsidRDefault="00DA0126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0"/>
        </w:rPr>
      </w:pPr>
      <w:r w:rsidRPr="00E5413A">
        <w:rPr>
          <w:rStyle w:val="apple-style-span"/>
          <w:rFonts w:ascii="Verdana" w:hAnsi="Verdana"/>
          <w:color w:val="555555"/>
          <w:sz w:val="20"/>
          <w:szCs w:val="20"/>
        </w:rPr>
        <w:t>Por la presente les manifestam</w:t>
      </w:r>
      <w:r w:rsidR="006D348E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os nuestra firme oposición a la acción emprendida por ustedes, lo que nos ha obligado a devolver el recibo </w:t>
      </w:r>
      <w:r w:rsidR="006D348E" w:rsidRPr="00E5413A">
        <w:rPr>
          <w:rStyle w:val="apple-style-span"/>
          <w:rFonts w:ascii="Verdana" w:hAnsi="Verdana"/>
          <w:b/>
          <w:color w:val="555555"/>
          <w:sz w:val="20"/>
          <w:szCs w:val="20"/>
        </w:rPr>
        <w:t>incorrectamente</w:t>
      </w:r>
      <w:r w:rsidR="006D348E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 domiciliado</w:t>
      </w:r>
      <w:r w:rsidR="00E60FA5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, habiendo abonado el importe correcto y correspondiente al mes de Diciembre en </w:t>
      </w:r>
      <w:r w:rsidR="00177336">
        <w:rPr>
          <w:rStyle w:val="apple-style-span"/>
          <w:rFonts w:ascii="Verdana" w:hAnsi="Verdana"/>
          <w:color w:val="555555"/>
          <w:sz w:val="20"/>
          <w:szCs w:val="20"/>
        </w:rPr>
        <w:t>su</w:t>
      </w:r>
      <w:r w:rsidR="00E60FA5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 cuenta corriente (0086 3207 46 0010056339), a nombre de SANTANDER BANIF INMOBILIARIO F.I.I.</w:t>
      </w:r>
      <w:r w:rsidR="00E5413A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, </w:t>
      </w:r>
      <w:r w:rsidR="00E5413A">
        <w:rPr>
          <w:rStyle w:val="apple-style-span"/>
          <w:rFonts w:ascii="Verdana" w:hAnsi="Verdana"/>
          <w:color w:val="555555"/>
          <w:sz w:val="20"/>
          <w:szCs w:val="20"/>
        </w:rPr>
        <w:t>comprobante del mismo que les adjunto en esta comunicación.</w:t>
      </w:r>
    </w:p>
    <w:p w:rsidR="00E60FA5" w:rsidRPr="00E5413A" w:rsidRDefault="00E60FA5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0"/>
        </w:rPr>
      </w:pPr>
    </w:p>
    <w:p w:rsidR="00E60FA5" w:rsidRPr="00E5413A" w:rsidRDefault="00E60FA5" w:rsidP="006D348E">
      <w:pPr>
        <w:spacing w:after="0" w:line="240" w:lineRule="auto"/>
        <w:jc w:val="both"/>
        <w:rPr>
          <w:rStyle w:val="apple-style-span"/>
          <w:rFonts w:ascii="Verdana" w:hAnsi="Verdana"/>
          <w:color w:val="555555"/>
          <w:sz w:val="20"/>
          <w:szCs w:val="20"/>
        </w:rPr>
      </w:pPr>
      <w:r w:rsidRPr="00E5413A">
        <w:rPr>
          <w:rStyle w:val="apple-style-span"/>
          <w:rFonts w:ascii="Verdana" w:hAnsi="Verdana"/>
          <w:color w:val="555555"/>
          <w:sz w:val="20"/>
          <w:szCs w:val="20"/>
        </w:rPr>
        <w:t>L</w:t>
      </w:r>
      <w:r w:rsidR="00DA0126" w:rsidRPr="00E5413A">
        <w:rPr>
          <w:rStyle w:val="apple-style-span"/>
          <w:rFonts w:ascii="Verdana" w:hAnsi="Verdana"/>
          <w:color w:val="555555"/>
          <w:sz w:val="20"/>
          <w:szCs w:val="20"/>
        </w:rPr>
        <w:t xml:space="preserve">es rogamos se abstengan de </w:t>
      </w:r>
      <w:r w:rsidR="00296A1F">
        <w:rPr>
          <w:rStyle w:val="apple-style-span"/>
          <w:rFonts w:ascii="Verdana" w:hAnsi="Verdana"/>
          <w:color w:val="555555"/>
          <w:sz w:val="20"/>
          <w:szCs w:val="20"/>
        </w:rPr>
        <w:t xml:space="preserve">volver a </w:t>
      </w:r>
      <w:r w:rsidR="00DA0126" w:rsidRPr="00E5413A">
        <w:rPr>
          <w:rStyle w:val="apple-style-span"/>
          <w:rFonts w:ascii="Verdana" w:hAnsi="Verdana"/>
          <w:color w:val="555555"/>
          <w:sz w:val="20"/>
          <w:szCs w:val="20"/>
        </w:rPr>
        <w:t>cargar en nuestra cuenta corriente el importe correspondiente a la citada tasa. En caso contrario nos reservamos el derecho a emprender todas las acciones legales que consideremos oportunas en salvaguarda de nuestros legítimos intereses.</w:t>
      </w:r>
    </w:p>
    <w:p w:rsidR="00377578" w:rsidRPr="006D348E" w:rsidRDefault="00DA0126" w:rsidP="006D348E">
      <w:pPr>
        <w:spacing w:after="0" w:line="240" w:lineRule="auto"/>
        <w:jc w:val="both"/>
        <w:rPr>
          <w:rFonts w:ascii="Trebuchet MS" w:hAnsi="Trebuchet MS"/>
          <w:color w:val="555555"/>
          <w:sz w:val="20"/>
          <w:szCs w:val="24"/>
        </w:rPr>
      </w:pP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Fonts w:ascii="Verdana" w:hAnsi="Verdana"/>
          <w:color w:val="555555"/>
          <w:sz w:val="20"/>
          <w:szCs w:val="24"/>
        </w:rPr>
        <w:br/>
      </w:r>
      <w:r w:rsidRPr="006D348E">
        <w:rPr>
          <w:rStyle w:val="apple-style-span"/>
          <w:rFonts w:ascii="Verdana" w:hAnsi="Verdana"/>
          <w:color w:val="555555"/>
          <w:sz w:val="20"/>
          <w:szCs w:val="24"/>
        </w:rPr>
        <w:t>Atentamente,</w:t>
      </w:r>
    </w:p>
    <w:sectPr w:rsidR="00377578" w:rsidRPr="006D348E" w:rsidSect="006D348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40A8"/>
    <w:multiLevelType w:val="hybridMultilevel"/>
    <w:tmpl w:val="E8DCD51C"/>
    <w:lvl w:ilvl="0" w:tplc="1F880E3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0126"/>
    <w:rsid w:val="00177336"/>
    <w:rsid w:val="00296A1F"/>
    <w:rsid w:val="00377578"/>
    <w:rsid w:val="006D348E"/>
    <w:rsid w:val="00AA1CC1"/>
    <w:rsid w:val="00D91BD0"/>
    <w:rsid w:val="00DA0126"/>
    <w:rsid w:val="00E5413A"/>
    <w:rsid w:val="00E6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A0126"/>
  </w:style>
  <w:style w:type="character" w:customStyle="1" w:styleId="apple-converted-space">
    <w:name w:val="apple-converted-space"/>
    <w:basedOn w:val="Fuentedeprrafopredeter"/>
    <w:rsid w:val="00DA0126"/>
  </w:style>
  <w:style w:type="paragraph" w:styleId="Prrafodelista">
    <w:name w:val="List Paragraph"/>
    <w:basedOn w:val="Normal"/>
    <w:uiPriority w:val="34"/>
    <w:qFormat/>
    <w:rsid w:val="006D3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mvdiaz</dc:creator>
  <cp:lastModifiedBy>mvdiaz</cp:lastModifiedBy>
  <cp:revision>5</cp:revision>
  <dcterms:created xsi:type="dcterms:W3CDTF">2009-12-01T19:55:00Z</dcterms:created>
  <dcterms:modified xsi:type="dcterms:W3CDTF">2009-12-01T20:33:00Z</dcterms:modified>
</cp:coreProperties>
</file>